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D00" w:rsidRPr="00913D00" w:rsidRDefault="00913D00" w:rsidP="00355095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:rsidR="00913D00" w:rsidRDefault="00913D00" w:rsidP="00355095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13D00">
        <w:rPr>
          <w:rFonts w:asciiTheme="minorHAnsi" w:hAnsiTheme="minorHAnsi" w:cstheme="minorHAnsi"/>
          <w:sz w:val="22"/>
          <w:szCs w:val="22"/>
        </w:rPr>
        <w:t>Статията</w:t>
      </w:r>
      <w:r w:rsidRPr="00CC1AE2">
        <w:rPr>
          <w:rFonts w:cstheme="minorHAnsi"/>
        </w:rPr>
        <w:t xml:space="preserve"> </w:t>
      </w:r>
      <w:r w:rsidRPr="00913D00">
        <w:rPr>
          <w:rFonts w:asciiTheme="minorHAnsi" w:hAnsiTheme="minorHAnsi" w:cstheme="minorHAnsi"/>
          <w:sz w:val="22"/>
          <w:szCs w:val="22"/>
        </w:rPr>
        <w:t>„</w:t>
      </w:r>
      <w:hyperlink r:id="rId5" w:history="1">
        <w:r w:rsidRPr="00913D00">
          <w:rPr>
            <w:rStyle w:val="Hyperlink"/>
            <w:rFonts w:asciiTheme="minorHAnsi" w:hAnsiTheme="minorHAnsi" w:cstheme="minorHAnsi"/>
            <w:sz w:val="22"/>
            <w:szCs w:val="22"/>
            <w:u w:val="none"/>
          </w:rPr>
          <w:t>Справяне с нежеланите странични реакции при лечение с иматиниб при пациенти с хронична миелоидна левкемия”С Michel WN Deininger, Stephen G., O'Brien, John M. Ford, и Brian J. Druker.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би била много полезна дори и за вашите лекари. Изследването касае пациенти със съвсем друго заболяване и затова може да не им е попадала. Изтеглете я,  разпечатайте я и им я покажете.</w:t>
      </w:r>
    </w:p>
    <w:p w:rsidR="00913D00" w:rsidRDefault="00913D00" w:rsidP="00355095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Ето и обещаният цитат от нея:</w:t>
      </w:r>
    </w:p>
    <w:p w:rsidR="00913D00" w:rsidRDefault="00913D00" w:rsidP="00355095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82BC5" w:rsidRPr="00913D00" w:rsidRDefault="00355095" w:rsidP="00913D00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C1AE2">
        <w:rPr>
          <w:rFonts w:asciiTheme="minorHAnsi" w:hAnsiTheme="minorHAnsi" w:cstheme="minorHAnsi"/>
          <w:sz w:val="22"/>
          <w:szCs w:val="22"/>
          <w:lang w:val="en-US"/>
        </w:rPr>
        <w:t>"</w:t>
      </w:r>
      <w:r w:rsidRPr="00CC57F8">
        <w:rPr>
          <w:rFonts w:asciiTheme="minorHAnsi" w:hAnsiTheme="minorHAnsi" w:cstheme="minorHAnsi"/>
          <w:i/>
          <w:sz w:val="22"/>
          <w:szCs w:val="22"/>
          <w:lang w:val="en-US"/>
        </w:rPr>
        <w:t xml:space="preserve">При някои пациенти, </w:t>
      </w:r>
      <w:r w:rsidRPr="00CC57F8">
        <w:rPr>
          <w:rFonts w:asciiTheme="minorHAnsi" w:hAnsiTheme="minorHAnsi" w:cstheme="minorHAnsi"/>
          <w:i/>
          <w:sz w:val="22"/>
          <w:szCs w:val="22"/>
        </w:rPr>
        <w:t xml:space="preserve">при </w:t>
      </w:r>
      <w:r w:rsidRPr="00CC57F8">
        <w:rPr>
          <w:rFonts w:asciiTheme="minorHAnsi" w:hAnsiTheme="minorHAnsi" w:cstheme="minorHAnsi"/>
          <w:i/>
          <w:sz w:val="22"/>
          <w:szCs w:val="22"/>
          <w:lang w:val="en-US"/>
        </w:rPr>
        <w:t xml:space="preserve">тежки обриви </w:t>
      </w:r>
      <w:r w:rsidRPr="00CC57F8">
        <w:rPr>
          <w:rFonts w:asciiTheme="minorHAnsi" w:hAnsiTheme="minorHAnsi" w:cstheme="minorHAnsi"/>
          <w:i/>
          <w:sz w:val="22"/>
          <w:szCs w:val="22"/>
        </w:rPr>
        <w:t>се развиват</w:t>
      </w:r>
      <w:r w:rsidRPr="00CC57F8">
        <w:rPr>
          <w:rFonts w:asciiTheme="minorHAnsi" w:hAnsiTheme="minorHAnsi" w:cstheme="minorHAnsi"/>
          <w:i/>
          <w:sz w:val="22"/>
          <w:szCs w:val="22"/>
          <w:lang w:val="en-US"/>
        </w:rPr>
        <w:t xml:space="preserve"> </w:t>
      </w:r>
      <w:r w:rsidRPr="00CC57F8">
        <w:rPr>
          <w:rFonts w:asciiTheme="minorHAnsi" w:hAnsiTheme="minorHAnsi" w:cstheme="minorHAnsi"/>
          <w:i/>
          <w:sz w:val="22"/>
          <w:szCs w:val="22"/>
        </w:rPr>
        <w:t>десквамативни (лющещи се)</w:t>
      </w:r>
      <w:r w:rsidRPr="00CC57F8">
        <w:rPr>
          <w:rFonts w:asciiTheme="minorHAnsi" w:hAnsiTheme="minorHAnsi" w:cstheme="minorHAnsi"/>
          <w:i/>
          <w:sz w:val="22"/>
          <w:szCs w:val="22"/>
          <w:lang w:val="en-US"/>
        </w:rPr>
        <w:t xml:space="preserve"> компоненти, </w:t>
      </w:r>
      <w:r w:rsidRPr="00CC57F8">
        <w:rPr>
          <w:rFonts w:asciiTheme="minorHAnsi" w:hAnsiTheme="minorHAnsi" w:cstheme="minorHAnsi"/>
          <w:i/>
          <w:sz w:val="22"/>
          <w:szCs w:val="22"/>
        </w:rPr>
        <w:t>като дори</w:t>
      </w:r>
      <w:r w:rsidRPr="00CC57F8">
        <w:rPr>
          <w:rFonts w:asciiTheme="minorHAnsi" w:hAnsiTheme="minorHAnsi" w:cstheme="minorHAnsi"/>
          <w:i/>
          <w:sz w:val="22"/>
          <w:szCs w:val="22"/>
          <w:lang w:val="en-US"/>
        </w:rPr>
        <w:t xml:space="preserve"> </w:t>
      </w:r>
      <w:r w:rsidRPr="00CC57F8">
        <w:rPr>
          <w:rFonts w:asciiTheme="minorHAnsi" w:hAnsiTheme="minorHAnsi" w:cstheme="minorHAnsi"/>
          <w:i/>
          <w:sz w:val="22"/>
          <w:szCs w:val="22"/>
        </w:rPr>
        <w:t>е наблюдаван и синдром на</w:t>
      </w:r>
      <w:r w:rsidRPr="00CC57F8">
        <w:rPr>
          <w:rFonts w:asciiTheme="minorHAnsi" w:hAnsiTheme="minorHAnsi" w:cstheme="minorHAnsi"/>
          <w:i/>
          <w:sz w:val="22"/>
          <w:szCs w:val="22"/>
          <w:lang w:val="en-US"/>
        </w:rPr>
        <w:t xml:space="preserve"> Stevens-Johnson</w:t>
      </w:r>
      <w:r w:rsidRPr="00CC57F8">
        <w:rPr>
          <w:rFonts w:asciiTheme="minorHAnsi" w:hAnsiTheme="minorHAnsi" w:cstheme="minorHAnsi"/>
          <w:i/>
          <w:sz w:val="22"/>
          <w:szCs w:val="22"/>
        </w:rPr>
        <w:t xml:space="preserve"> (епидемисът се отделя от дермата)</w:t>
      </w:r>
      <w:r w:rsidRPr="00CC57F8">
        <w:rPr>
          <w:rFonts w:asciiTheme="minorHAnsi" w:hAnsiTheme="minorHAnsi" w:cstheme="minorHAnsi"/>
          <w:i/>
          <w:sz w:val="22"/>
          <w:szCs w:val="22"/>
          <w:lang w:val="en-US"/>
        </w:rPr>
        <w:t>. В такива случаи</w:t>
      </w:r>
      <w:r w:rsidR="00913D00">
        <w:rPr>
          <w:rFonts w:asciiTheme="minorHAnsi" w:hAnsiTheme="minorHAnsi" w:cstheme="minorHAnsi"/>
          <w:i/>
          <w:sz w:val="22"/>
          <w:szCs w:val="22"/>
        </w:rPr>
        <w:t>,</w:t>
      </w:r>
      <w:r w:rsidRPr="00CC57F8">
        <w:rPr>
          <w:rFonts w:asciiTheme="minorHAnsi" w:hAnsiTheme="minorHAnsi" w:cstheme="minorHAnsi"/>
          <w:i/>
          <w:sz w:val="22"/>
          <w:szCs w:val="22"/>
          <w:lang w:val="en-US"/>
        </w:rPr>
        <w:t xml:space="preserve"> незабавно </w:t>
      </w:r>
      <w:r w:rsidR="00913D00">
        <w:rPr>
          <w:rFonts w:asciiTheme="minorHAnsi" w:hAnsiTheme="minorHAnsi" w:cstheme="minorHAnsi"/>
          <w:i/>
          <w:sz w:val="22"/>
          <w:szCs w:val="22"/>
        </w:rPr>
        <w:t xml:space="preserve">се предприема </w:t>
      </w:r>
      <w:r w:rsidRPr="00CC57F8">
        <w:rPr>
          <w:rFonts w:asciiTheme="minorHAnsi" w:hAnsiTheme="minorHAnsi" w:cstheme="minorHAnsi"/>
          <w:i/>
          <w:sz w:val="22"/>
          <w:szCs w:val="22"/>
          <w:lang w:val="en-US"/>
        </w:rPr>
        <w:t>прекратяване на лечението и</w:t>
      </w:r>
      <w:r w:rsidRPr="00CC57F8">
        <w:rPr>
          <w:rFonts w:asciiTheme="minorHAnsi" w:hAnsiTheme="minorHAnsi" w:cstheme="minorHAnsi"/>
          <w:i/>
          <w:sz w:val="22"/>
          <w:szCs w:val="22"/>
        </w:rPr>
        <w:t xml:space="preserve"> се назначават</w:t>
      </w:r>
      <w:r w:rsidRPr="00CC57F8">
        <w:rPr>
          <w:rFonts w:asciiTheme="minorHAnsi" w:hAnsiTheme="minorHAnsi" w:cstheme="minorHAnsi"/>
          <w:i/>
          <w:color w:val="666666"/>
          <w:sz w:val="22"/>
          <w:szCs w:val="22"/>
          <w:lang w:val="en-US"/>
        </w:rPr>
        <w:t xml:space="preserve"> </w:t>
      </w:r>
      <w:hyperlink r:id="rId6" w:history="1">
        <w:r w:rsidRPr="00CC57F8">
          <w:rPr>
            <w:rStyle w:val="Hyperlink"/>
            <w:rFonts w:asciiTheme="minorHAnsi" w:eastAsiaTheme="majorEastAsia" w:hAnsiTheme="minorHAnsi" w:cstheme="minorHAnsi"/>
            <w:i/>
            <w:sz w:val="22"/>
            <w:szCs w:val="22"/>
            <w:u w:val="none"/>
            <w:lang w:val="en-US"/>
          </w:rPr>
          <w:t>системни стероиди</w:t>
        </w:r>
      </w:hyperlink>
      <w:r w:rsidRPr="00CC57F8">
        <w:rPr>
          <w:rFonts w:asciiTheme="minorHAnsi" w:hAnsiTheme="minorHAnsi" w:cstheme="minorHAnsi"/>
          <w:i/>
          <w:color w:val="666666"/>
          <w:sz w:val="22"/>
          <w:szCs w:val="22"/>
          <w:lang w:val="en-US"/>
        </w:rPr>
        <w:t xml:space="preserve"> </w:t>
      </w:r>
      <w:r w:rsidRPr="00CC57F8">
        <w:rPr>
          <w:rFonts w:asciiTheme="minorHAnsi" w:hAnsiTheme="minorHAnsi" w:cstheme="minorHAnsi"/>
          <w:i/>
          <w:sz w:val="22"/>
          <w:szCs w:val="22"/>
          <w:lang w:val="en-US"/>
        </w:rPr>
        <w:t xml:space="preserve">(например, 1 мг / кг / дневно). </w:t>
      </w:r>
      <w:r w:rsidRPr="00CC57F8">
        <w:rPr>
          <w:rFonts w:asciiTheme="minorHAnsi" w:hAnsiTheme="minorHAnsi" w:cstheme="minorHAnsi"/>
          <w:i/>
          <w:sz w:val="22"/>
          <w:szCs w:val="22"/>
        </w:rPr>
        <w:t>Такива т</w:t>
      </w:r>
      <w:r w:rsidRPr="00CC57F8">
        <w:rPr>
          <w:rFonts w:asciiTheme="minorHAnsi" w:hAnsiTheme="minorHAnsi" w:cstheme="minorHAnsi"/>
          <w:i/>
          <w:sz w:val="22"/>
          <w:szCs w:val="22"/>
          <w:lang w:val="en-US"/>
        </w:rPr>
        <w:t xml:space="preserve">ежки кожни реакции, са най-честата причина за прекъсване на терапията с иматиниб. </w:t>
      </w:r>
      <w:r w:rsidRPr="00CC57F8">
        <w:rPr>
          <w:rFonts w:asciiTheme="minorHAnsi" w:hAnsiTheme="minorHAnsi" w:cstheme="minorHAnsi"/>
          <w:i/>
          <w:sz w:val="22"/>
          <w:szCs w:val="22"/>
        </w:rPr>
        <w:t>Тяхната честота е много малка</w:t>
      </w:r>
      <w:r w:rsidRPr="00CC57F8">
        <w:rPr>
          <w:rFonts w:asciiTheme="minorHAnsi" w:hAnsiTheme="minorHAnsi" w:cstheme="minorHAnsi"/>
          <w:i/>
          <w:sz w:val="22"/>
          <w:szCs w:val="22"/>
          <w:lang w:val="en-US"/>
        </w:rPr>
        <w:t xml:space="preserve"> (1% от всички пациенти). </w:t>
      </w:r>
      <w:r w:rsidRPr="00CC57F8">
        <w:rPr>
          <w:rFonts w:asciiTheme="minorHAnsi" w:hAnsiTheme="minorHAnsi" w:cstheme="minorHAnsi"/>
          <w:i/>
          <w:sz w:val="22"/>
          <w:szCs w:val="22"/>
        </w:rPr>
        <w:t>След овладяването на кожния обрив е възможно рестартирането на терапията с иматиниб.</w:t>
      </w:r>
      <w:r w:rsidRPr="00CC57F8">
        <w:rPr>
          <w:rFonts w:asciiTheme="minorHAnsi" w:hAnsiTheme="minorHAnsi" w:cstheme="minorHAnsi"/>
          <w:i/>
          <w:sz w:val="22"/>
          <w:szCs w:val="22"/>
          <w:lang w:val="en-US"/>
        </w:rPr>
        <w:t xml:space="preserve"> В тези случаи, обикновено се прилага преднизон по 1 мг / кг / дневно, </w:t>
      </w:r>
      <w:r w:rsidRPr="00CC57F8">
        <w:rPr>
          <w:rFonts w:asciiTheme="minorHAnsi" w:hAnsiTheme="minorHAnsi" w:cstheme="minorHAnsi"/>
          <w:i/>
          <w:sz w:val="22"/>
          <w:szCs w:val="22"/>
        </w:rPr>
        <w:t>като постепенно се намаля</w:t>
      </w:r>
      <w:r w:rsidRPr="00CC57F8">
        <w:rPr>
          <w:rFonts w:asciiTheme="minorHAnsi" w:hAnsiTheme="minorHAnsi" w:cstheme="minorHAnsi"/>
          <w:i/>
          <w:sz w:val="22"/>
          <w:szCs w:val="22"/>
          <w:lang w:val="en-US"/>
        </w:rPr>
        <w:t xml:space="preserve"> до 20 мг на ден в продължение на няколко седмици. </w:t>
      </w:r>
      <w:r w:rsidRPr="00CC57F8">
        <w:rPr>
          <w:rFonts w:asciiTheme="minorHAnsi" w:hAnsiTheme="minorHAnsi" w:cstheme="minorHAnsi"/>
          <w:i/>
          <w:sz w:val="22"/>
          <w:szCs w:val="22"/>
        </w:rPr>
        <w:t>Терапията с иматиниб се рестартира със 100 мг/ден, като дозата се увеличава със по 100 мг на седмица, докато трае и приемът на стероиди, като се предполага, че обривът няма да се появи. Този подход се прилага при пациенти при които няма друга опция освен лечение с иматиниб.</w:t>
      </w:r>
      <w:r w:rsidRPr="00CC57F8">
        <w:rPr>
          <w:rFonts w:asciiTheme="minorHAnsi" w:hAnsiTheme="minorHAnsi" w:cstheme="minorHAnsi"/>
          <w:i/>
          <w:sz w:val="22"/>
          <w:szCs w:val="22"/>
          <w:lang w:val="en-US"/>
        </w:rPr>
        <w:t>"</w:t>
      </w:r>
    </w:p>
    <w:sectPr w:rsidR="00582BC5" w:rsidRPr="00913D00" w:rsidSect="00097448">
      <w:type w:val="continuous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alt="http://62.0.5.136/www.gist-bg.com/images/button-srch-arrow.gif" style="width:11.25pt;height:15.75pt;visibility:visible;mso-wrap-style:square" o:bullet="t">
        <v:imagedata r:id="rId1" o:title="button-srch-arrow"/>
      </v:shape>
    </w:pict>
  </w:numPicBullet>
  <w:abstractNum w:abstractNumId="0">
    <w:nsid w:val="4F117824"/>
    <w:multiLevelType w:val="multilevel"/>
    <w:tmpl w:val="C4DA69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7A335C"/>
    <w:multiLevelType w:val="hybridMultilevel"/>
    <w:tmpl w:val="06FC6E4C"/>
    <w:lvl w:ilvl="0" w:tplc="704C7D7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143F16"/>
    <w:multiLevelType w:val="multilevel"/>
    <w:tmpl w:val="EA8205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82BC5"/>
    <w:rsid w:val="00024134"/>
    <w:rsid w:val="000624B8"/>
    <w:rsid w:val="00097448"/>
    <w:rsid w:val="0011055E"/>
    <w:rsid w:val="00152BB4"/>
    <w:rsid w:val="001F0501"/>
    <w:rsid w:val="002357A4"/>
    <w:rsid w:val="002408C1"/>
    <w:rsid w:val="00243404"/>
    <w:rsid w:val="00260734"/>
    <w:rsid w:val="00320D0A"/>
    <w:rsid w:val="00355095"/>
    <w:rsid w:val="003923EF"/>
    <w:rsid w:val="00402CDD"/>
    <w:rsid w:val="004413DC"/>
    <w:rsid w:val="004A4BB1"/>
    <w:rsid w:val="004C5525"/>
    <w:rsid w:val="004E3E2F"/>
    <w:rsid w:val="00582BC5"/>
    <w:rsid w:val="005A418C"/>
    <w:rsid w:val="005B28C8"/>
    <w:rsid w:val="005D0841"/>
    <w:rsid w:val="006153F5"/>
    <w:rsid w:val="00620536"/>
    <w:rsid w:val="00662785"/>
    <w:rsid w:val="006D16A4"/>
    <w:rsid w:val="00773D0C"/>
    <w:rsid w:val="0084764F"/>
    <w:rsid w:val="00913D00"/>
    <w:rsid w:val="009A3CDF"/>
    <w:rsid w:val="009C120B"/>
    <w:rsid w:val="00AD69FB"/>
    <w:rsid w:val="00B02090"/>
    <w:rsid w:val="00B2665D"/>
    <w:rsid w:val="00B64A88"/>
    <w:rsid w:val="00B67EAD"/>
    <w:rsid w:val="00B907E8"/>
    <w:rsid w:val="00BA1E37"/>
    <w:rsid w:val="00C247C5"/>
    <w:rsid w:val="00C315A5"/>
    <w:rsid w:val="00C918F4"/>
    <w:rsid w:val="00CC1AE2"/>
    <w:rsid w:val="00CC57F8"/>
    <w:rsid w:val="00CD70FF"/>
    <w:rsid w:val="00D818EB"/>
    <w:rsid w:val="00E6398A"/>
    <w:rsid w:val="00E80481"/>
    <w:rsid w:val="00EF4EF6"/>
    <w:rsid w:val="00F2151B"/>
    <w:rsid w:val="00F71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BC5"/>
  </w:style>
  <w:style w:type="paragraph" w:styleId="Heading1">
    <w:name w:val="heading 1"/>
    <w:basedOn w:val="Normal"/>
    <w:next w:val="Normal"/>
    <w:link w:val="Heading1Char"/>
    <w:uiPriority w:val="9"/>
    <w:qFormat/>
    <w:rsid w:val="00320D0A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0D0A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20D0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0D0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0D0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20D0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20D0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20D0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20D0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0D0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20D0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20D0A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20D0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20D0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20D0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20D0A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20D0A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20D0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320D0A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20D0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20D0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20D0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320D0A"/>
    <w:rPr>
      <w:b/>
      <w:bCs/>
    </w:rPr>
  </w:style>
  <w:style w:type="character" w:styleId="Emphasis">
    <w:name w:val="Emphasis"/>
    <w:uiPriority w:val="20"/>
    <w:qFormat/>
    <w:rsid w:val="00320D0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320D0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20D0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20D0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20D0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20D0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20D0A"/>
    <w:rPr>
      <w:b/>
      <w:bCs/>
      <w:i/>
      <w:iCs/>
    </w:rPr>
  </w:style>
  <w:style w:type="character" w:styleId="SubtleEmphasis">
    <w:name w:val="Subtle Emphasis"/>
    <w:uiPriority w:val="19"/>
    <w:qFormat/>
    <w:rsid w:val="00320D0A"/>
    <w:rPr>
      <w:i/>
      <w:iCs/>
    </w:rPr>
  </w:style>
  <w:style w:type="character" w:styleId="IntenseEmphasis">
    <w:name w:val="Intense Emphasis"/>
    <w:uiPriority w:val="21"/>
    <w:qFormat/>
    <w:rsid w:val="00320D0A"/>
    <w:rPr>
      <w:b/>
      <w:bCs/>
    </w:rPr>
  </w:style>
  <w:style w:type="character" w:styleId="SubtleReference">
    <w:name w:val="Subtle Reference"/>
    <w:uiPriority w:val="31"/>
    <w:qFormat/>
    <w:rsid w:val="00320D0A"/>
    <w:rPr>
      <w:smallCaps/>
    </w:rPr>
  </w:style>
  <w:style w:type="character" w:styleId="IntenseReference">
    <w:name w:val="Intense Reference"/>
    <w:uiPriority w:val="32"/>
    <w:qFormat/>
    <w:rsid w:val="00320D0A"/>
    <w:rPr>
      <w:smallCaps/>
      <w:spacing w:val="5"/>
      <w:u w:val="single"/>
    </w:rPr>
  </w:style>
  <w:style w:type="character" w:styleId="BookTitle">
    <w:name w:val="Book Title"/>
    <w:uiPriority w:val="33"/>
    <w:qFormat/>
    <w:rsid w:val="00320D0A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20D0A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582BC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82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CC1AE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1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3DC"/>
    <w:rPr>
      <w:rFonts w:ascii="Tahoma" w:hAnsi="Tahoma" w:cs="Tahoma"/>
      <w:sz w:val="16"/>
      <w:szCs w:val="16"/>
    </w:rPr>
  </w:style>
  <w:style w:type="paragraph" w:customStyle="1" w:styleId="authors">
    <w:name w:val="authors"/>
    <w:basedOn w:val="Normal"/>
    <w:rsid w:val="00260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6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3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edpedia.framar.bg/%D0%BB%D0%B5%D1%87%D0%B5%D0%BD%D0%B8%D1%8F/%D1%81%D0%B8%D1%81%D1%82%D0%B5%D0%BC%D0%BD%D0%B8%D1%82%D0%B5-%D1%81%D1%82%D0%B5%D1%80%D0%BE%D0%B8%D0%B4%D0%B8" TargetMode="External"/><Relationship Id="rId5" Type="http://schemas.openxmlformats.org/officeDocument/2006/relationships/hyperlink" Target="http://jco.ascopubs.org/content/21/8/1637.full.pdf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start</cp:lastModifiedBy>
  <cp:revision>6</cp:revision>
  <cp:lastPrinted>2014-09-05T13:47:00Z</cp:lastPrinted>
  <dcterms:created xsi:type="dcterms:W3CDTF">2013-10-31T09:08:00Z</dcterms:created>
  <dcterms:modified xsi:type="dcterms:W3CDTF">2014-09-05T13:48:00Z</dcterms:modified>
</cp:coreProperties>
</file>